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8" w:rsidRPr="008C54B8" w:rsidRDefault="008C54B8" w:rsidP="008C54B8">
      <w:pPr>
        <w:shd w:val="clear" w:color="auto" w:fill="FFFFFF"/>
        <w:spacing w:after="600" w:line="240" w:lineRule="auto"/>
        <w:outlineLvl w:val="1"/>
        <w:rPr>
          <w:rFonts w:ascii="Helvetica" w:eastAsia="Times New Roman" w:hAnsi="Helvetica" w:cs="Helvetica"/>
          <w:b/>
          <w:bCs/>
          <w:color w:val="000000"/>
          <w:spacing w:val="-1"/>
          <w:sz w:val="48"/>
          <w:szCs w:val="48"/>
          <w:lang w:eastAsia="it-IT"/>
        </w:rPr>
      </w:pPr>
      <w:r w:rsidRPr="008C54B8">
        <w:rPr>
          <w:rFonts w:ascii="Helvetica" w:eastAsia="Times New Roman" w:hAnsi="Helvetica" w:cs="Helvetica"/>
          <w:b/>
          <w:bCs/>
          <w:color w:val="000000"/>
          <w:spacing w:val="-1"/>
          <w:sz w:val="48"/>
          <w:lang w:eastAsia="it-IT"/>
        </w:rPr>
        <w:t>IL PRESIDENTE DEL CONSIGLIO DEI MINISTRI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Vista la legge 23 agosto 1988, n. 400;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decreto-legge 23 febbraio 2020, n. 6, recante «Misure urgenti in materia di contenimento e gestione dell'emergenza epidemiologica da COVID-19» e, in particolare, l’articolo 3;</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 del Presidente del Consiglio dei ministri 4 marzo 2020, recante “Ulteriori disposizioni attuative del decreto-legge 23 febbraio 2020, n. 6, recante misure urgenti in materia di contenimento e gestione dell'emergenza epidemiologica da COVID-19, applicabili sull’intero territorio nazionale”, pubblicato nella Gazzetta Ufficiale n. 55 del 4 marzo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Visto il decreto del Presidente del Consiglio dei ministri 8 marzo 2020, recante “Ulteriori disposizioni attuative del decreto-legge 23 febbraio 2020, n. 6, recante misure urgenti in materia di contenimento e gestione dell'emergenza epidemiologica da COVID-19”, pubblicato nella Gazzetta Ufficiale n. 59 dell’8 marzo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lastRenderedPageBreak/>
        <w:t>Visto il decreto del Presidente del Consiglio dei ministri 9 marzo 2020, recante “Ulteriori disposizioni attuative del decreto-legge 23 febbraio 2020, n. 6, recante misure urgenti in materia di contenimento e gestione dell'emergenza epidemiologica da COVID-19, applicabili sull'intero territorio nazionale pubblicato nella Gazzetta Ufficiale n.62 del 9 marzo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Considerato che l’Organizzazione mondiale della sanità il 30 gennaio 2020 ha dichiarato l’epidemia da COVID-19 un’emergenza di sanità pubblica di rilevanza internazionale;</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Considerati l'evolversi della situazione epidemiologica, il carattere particolarmente diffusivo dell'epidemia e l'incremento dei casi sul territorio nazionale;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Ritenuto necessario adottare, sull’intero territorio nazionale, ulteriori misure in materia di contenimento e gestione dell'emergenza epidemiologica da COVID-19;</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Su proposta del Ministro della salute, sentiti i Ministri dell'interno, della difesa, dell'economia e delle finanze, nonché i Ministri delle infrastrutture e dei trasporti, dello sviluppo economico, delle politiche agricole alimentari e forestali, dei beni e delle attività culturali e del turismo, del lavoro e delle politiche sociali, per la pubblica amministrazione, e per gli affari regionali e le autonomie, nonché sentito il Presidente della Conferenza dei presidenti delle regioni;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DECRETA:</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b/>
          <w:bCs/>
          <w:color w:val="333333"/>
          <w:spacing w:val="2"/>
          <w:sz w:val="24"/>
          <w:szCs w:val="24"/>
          <w:lang w:eastAsia="it-IT"/>
        </w:rPr>
        <w:t>ART. 1</w:t>
      </w:r>
      <w:r w:rsidRPr="008C54B8">
        <w:rPr>
          <w:rFonts w:ascii="Helvetica" w:eastAsia="Times New Roman" w:hAnsi="Helvetica" w:cs="Helvetica"/>
          <w:b/>
          <w:bCs/>
          <w:color w:val="333333"/>
          <w:spacing w:val="2"/>
          <w:sz w:val="27"/>
          <w:szCs w:val="27"/>
          <w:lang w:eastAsia="it-IT"/>
        </w:rPr>
        <w:br/>
      </w:r>
      <w:r w:rsidRPr="008C54B8">
        <w:rPr>
          <w:rFonts w:ascii="Helvetica" w:eastAsia="Times New Roman" w:hAnsi="Helvetica" w:cs="Helvetica"/>
          <w:b/>
          <w:bCs/>
          <w:color w:val="333333"/>
          <w:spacing w:val="2"/>
          <w:sz w:val="24"/>
          <w:szCs w:val="24"/>
          <w:lang w:eastAsia="it-IT"/>
        </w:rPr>
        <w:t>(Misure urgenti di contenimento del contagio sull’intero territorio nazionale)</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lastRenderedPageBreak/>
        <w:t>Allo scopo di contrastare e contenere il diffondersi del virus COVID-19 sono adottate, sull’intero territorio nazionale, le seguenti misure:</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Sono sospese le attività commerciali al dettaglio, fatta eccezione per le attività di vendita di generi alimentari e di prima necessità individuate nell’allegato 1, sia nell’ambito degli esercizi commerciali di vicinato, sia nell’ambito della media e grande distribuzione, anche ricompresi nei centri commerciali, purché sia consentito l’accesso alle sole predette attività. Sono chiusi, indipendentemente dalla tipologia di attività svolta, i mercati, salvo le attività dirette alla vendita di soli generi alimentari. Restano aperte le edicole, i tabaccai, le farmacie, le parafarmacie. Deve essere in ogni caso garantita la distanza di sicurezza interpersonale di un metro.</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Sono sospese le attività dei servizi di ristorazione (fra cui bar, pub, ristoranti, gelaterie, pasticcerie), ad esclusione delle mense e del catering continuativo su base contrattuale, che garantiscono la distanza di sicurezza interpersonale di un metro. Resta consentita la sola ristorazione con consegna a domicilio nel rispetto delle norme igienico-sanitarie sia per l’attività di confezionamento che di trasporto. Restano, altresì, aperti gli esercizi di somministrazione di alimenti e bevande posti nelle aree di servizio e rifornimento carburante situati lungo la rete stradale, autostradale e all’interno delle stazioni ferroviarie, aeroportuali, lacustri e negli ospedali garantendo la distanza di sicurezza interpersonale di un metro.</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Sono sospese le attività inerenti i servizi alla persona (fra cui parrucchieri, barbieri, estetisti) diverse da quelle individuate nell’allegato 2.</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Restano garantiti, nel rispetto delle norme igienico-sanitarie, i servizi bancari, finanziari, assicurativi nonché l’attività del settore agricolo, zootecnico di trasformazione agro-alimentare comprese le filiere che ne forniscono beni e servizi.</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Il Presidente della Regione con ordinanza di cui all’articolo 3, comma 2, del decreto legge 23 febbraio 2020 n. 6, può disporre la programmazione del servizio erogato dalle Aziende del Trasporto pubblico locale, anche non di linea, finalizzata alla riduzione e alla soppressione dei servizi in relazione agli interventi sanitari necessari per contenere l’emergenza coronavirus sulla base delle effettive esigenze e al solo fine di assicurare i servizi minimi essenziali. Il Ministro delle infrastrutture e dei trasporti, di concerto con il Ministro della salute, può disporre, al fine di contenere l’emergenza sanitaria da coronavirus, la programmazione con riduzione e soppressione dei servizi automobilistici interregionali e di trasporto ferroviario, aereo e marittimo, sulla base delle effettive esigenze e al solo fine di assicurare i servizi minimi essenziali.</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xml:space="preserve">Fermo restando quanto disposto dall’articolo 1, comma 1, lettera e), del decreto del Presidente del Consiglio dei Ministri dell’8 marzo 2020 e fatte salve le attività strettamente funzionali alla gestione dell’emergenza, le pubbliche amministrazioni, assicurano lo svolgimento in via ordinaria delle prestazioni lavorative in forma agile del proprio personale dipendente, anche in deroga agli accordi individuali e agli obblighi informativi di cui agli articoli da 18 a 23 della </w:t>
      </w:r>
      <w:r w:rsidRPr="008C54B8">
        <w:rPr>
          <w:rFonts w:ascii="Helvetica" w:eastAsia="Times New Roman" w:hAnsi="Helvetica" w:cs="Helvetica"/>
          <w:color w:val="333333"/>
          <w:sz w:val="27"/>
          <w:szCs w:val="27"/>
          <w:lang w:eastAsia="it-IT"/>
        </w:rPr>
        <w:lastRenderedPageBreak/>
        <w:t>legge 22 maggio 2017, n. 81 e individuano le attività indifferibili da rendere in presenza.</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In ordine alle attività produttive e alle attività professionali si raccomanda che:</w:t>
      </w:r>
      <w:r w:rsidRPr="008C54B8">
        <w:rPr>
          <w:rFonts w:ascii="Helvetica" w:eastAsia="Times New Roman" w:hAnsi="Helvetica" w:cs="Helvetica"/>
          <w:color w:val="333333"/>
          <w:sz w:val="27"/>
          <w:szCs w:val="27"/>
          <w:lang w:eastAsia="it-IT"/>
        </w:rPr>
        <w:br/>
      </w:r>
    </w:p>
    <w:p w:rsidR="008C54B8" w:rsidRPr="008C54B8" w:rsidRDefault="008C54B8" w:rsidP="008C54B8">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sia attuato il massimo utilizzo da parte delle imprese di modalità di lavoro agile per le attività che possono essere svolte al proprio domicilio o in modalità a distanza;</w:t>
      </w:r>
    </w:p>
    <w:p w:rsidR="008C54B8" w:rsidRPr="008C54B8" w:rsidRDefault="008C54B8" w:rsidP="008C54B8">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siano incentivate le ferie e i congedi retribuiti per i dipendenti nonché gli altri strumenti previsti dalla contrattazione collettiva;</w:t>
      </w:r>
    </w:p>
    <w:p w:rsidR="008C54B8" w:rsidRPr="008C54B8" w:rsidRDefault="008C54B8" w:rsidP="008C54B8">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siano sospese le attività dei reparti aziendali non indispensabili alla produzione;</w:t>
      </w:r>
    </w:p>
    <w:p w:rsidR="008C54B8" w:rsidRPr="008C54B8" w:rsidRDefault="008C54B8" w:rsidP="008C54B8">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assumano protocolli di sicurezza anti-contagio e, laddove non fosse possibile rispettare la distanza interpersonale di un metro come principale misura di contenimento, con adozione di strumenti di protezione individuale;</w:t>
      </w:r>
    </w:p>
    <w:p w:rsidR="008C54B8" w:rsidRPr="008C54B8" w:rsidRDefault="008C54B8" w:rsidP="008C54B8">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 siano incentivate le operazioni di sanificazione dei luoghi di lavoro, anche utilizzando a tal fine forme di ammortizzatori sociali;  </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per le sole attività produttive si raccomanda altresì che siano limitati al massimo gli spostamenti all’interno dei siti e contingentato l’accesso agli spazi comuni;</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in relazione a quanto disposto nell’ambito dei numeri 7 e 8 si favoriscono, limitatamente alle attività produttive, intese tra organizzazioni datoriali e sindacali.</w:t>
      </w:r>
    </w:p>
    <w:p w:rsidR="008C54B8" w:rsidRPr="008C54B8" w:rsidRDefault="008C54B8" w:rsidP="008C54B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lang w:eastAsia="it-IT"/>
        </w:rPr>
      </w:pPr>
      <w:r w:rsidRPr="008C54B8">
        <w:rPr>
          <w:rFonts w:ascii="Helvetica" w:eastAsia="Times New Roman" w:hAnsi="Helvetica" w:cs="Helvetica"/>
          <w:color w:val="333333"/>
          <w:sz w:val="27"/>
          <w:szCs w:val="27"/>
          <w:lang w:eastAsia="it-IT"/>
        </w:rPr>
        <w:t>Per tutte le attività non sospese si invita al massimo utilizzo delle modalità di lavoro agile.</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b/>
          <w:bCs/>
          <w:color w:val="333333"/>
          <w:spacing w:val="2"/>
          <w:sz w:val="24"/>
          <w:szCs w:val="24"/>
          <w:lang w:eastAsia="it-IT"/>
        </w:rPr>
        <w:t>ART. 2</w:t>
      </w:r>
      <w:r w:rsidRPr="008C54B8">
        <w:rPr>
          <w:rFonts w:ascii="Helvetica" w:eastAsia="Times New Roman" w:hAnsi="Helvetica" w:cs="Helvetica"/>
          <w:b/>
          <w:bCs/>
          <w:color w:val="333333"/>
          <w:spacing w:val="2"/>
          <w:sz w:val="27"/>
          <w:szCs w:val="27"/>
          <w:lang w:eastAsia="it-IT"/>
        </w:rPr>
        <w:br/>
      </w:r>
      <w:r w:rsidRPr="008C54B8">
        <w:rPr>
          <w:rFonts w:ascii="Helvetica" w:eastAsia="Times New Roman" w:hAnsi="Helvetica" w:cs="Helvetica"/>
          <w:b/>
          <w:bCs/>
          <w:color w:val="333333"/>
          <w:spacing w:val="2"/>
          <w:sz w:val="24"/>
          <w:szCs w:val="24"/>
          <w:lang w:eastAsia="it-IT"/>
        </w:rPr>
        <w:t>(Disposizioni finali)</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1. Le disposizioni del presente decreto producono effetto dalla data del 12 marzo 2020 e sono efficaci fino al 25 marzo 2020.</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2. Dalla data di efficacia delle disposizioni del presente decreto cessano di produrre effetti, ove incompatibili con le disposizioni del presente decreto, le misure di cui al  decreto del Presidente del Consiglio dei ministri 8 marzo 2020 e del decreto del Presidente del Consiglio dei ministri 9 marzo 2020.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3. Le disposizioni del presente decreto si applicano alle Regioni a statuto speciale e alle Province autonome di Trento e di Bolzano compatibilmente con i rispettivi statuti e le relative norme di attuazione.</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Roma, 11 marzo 2020</w:t>
      </w:r>
      <w:r w:rsidRPr="008C54B8">
        <w:rPr>
          <w:rFonts w:ascii="Helvetica" w:eastAsia="Times New Roman" w:hAnsi="Helvetica" w:cs="Helvetica"/>
          <w:color w:val="333333"/>
          <w:spacing w:val="2"/>
          <w:sz w:val="27"/>
          <w:szCs w:val="27"/>
          <w:lang w:eastAsia="it-IT"/>
        </w:rPr>
        <w:br/>
        <w:t>                        </w:t>
      </w:r>
      <w:r w:rsidRPr="008C54B8">
        <w:rPr>
          <w:rFonts w:ascii="Helvetica" w:eastAsia="Times New Roman" w:hAnsi="Helvetica" w:cs="Helvetica"/>
          <w:color w:val="333333"/>
          <w:spacing w:val="2"/>
          <w:sz w:val="27"/>
          <w:szCs w:val="27"/>
          <w:lang w:eastAsia="it-IT"/>
        </w:rPr>
        <w:br/>
        <w:t>IL PRESIDENTE DEL CONSIGLIO DEI MINISTRI </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IL MINISTRO DELLA SALUTE</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lastRenderedPageBreak/>
        <w:t> </w:t>
      </w:r>
    </w:p>
    <w:p w:rsidR="008C54B8" w:rsidRPr="008C54B8" w:rsidRDefault="008C54B8" w:rsidP="008C54B8">
      <w:pPr>
        <w:shd w:val="clear" w:color="auto" w:fill="FFFFFF"/>
        <w:spacing w:after="375" w:line="240" w:lineRule="auto"/>
        <w:outlineLvl w:val="2"/>
        <w:rPr>
          <w:rFonts w:ascii="Helvetica" w:eastAsia="Times New Roman" w:hAnsi="Helvetica" w:cs="Helvetica"/>
          <w:b/>
          <w:bCs/>
          <w:color w:val="000000"/>
          <w:sz w:val="36"/>
          <w:szCs w:val="36"/>
          <w:lang w:eastAsia="it-IT"/>
        </w:rPr>
      </w:pPr>
      <w:r w:rsidRPr="008C54B8">
        <w:rPr>
          <w:rFonts w:ascii="Helvetica" w:eastAsia="Times New Roman" w:hAnsi="Helvetica" w:cs="Helvetica"/>
          <w:b/>
          <w:bCs/>
          <w:color w:val="000000"/>
          <w:sz w:val="36"/>
          <w:szCs w:val="36"/>
          <w:lang w:eastAsia="it-IT"/>
        </w:rPr>
        <w:t>Allegato 1</w:t>
      </w:r>
      <w:r w:rsidRPr="008C54B8">
        <w:rPr>
          <w:rFonts w:ascii="Helvetica" w:eastAsia="Times New Roman" w:hAnsi="Helvetica" w:cs="Helvetica"/>
          <w:b/>
          <w:bCs/>
          <w:color w:val="000000"/>
          <w:sz w:val="36"/>
          <w:szCs w:val="36"/>
          <w:lang w:eastAsia="it-IT"/>
        </w:rPr>
        <w:br/>
        <w:t>COMMERCIO AL DETTAGLIO</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t>Ipermercati</w:t>
      </w:r>
      <w:r w:rsidRPr="008C54B8">
        <w:rPr>
          <w:rFonts w:ascii="Helvetica" w:eastAsia="Times New Roman" w:hAnsi="Helvetica" w:cs="Helvetica"/>
          <w:color w:val="333333"/>
          <w:spacing w:val="2"/>
          <w:sz w:val="27"/>
          <w:szCs w:val="27"/>
          <w:lang w:eastAsia="it-IT"/>
        </w:rPr>
        <w:br/>
        <w:t>Supermercati</w:t>
      </w:r>
      <w:r w:rsidRPr="008C54B8">
        <w:rPr>
          <w:rFonts w:ascii="Helvetica" w:eastAsia="Times New Roman" w:hAnsi="Helvetica" w:cs="Helvetica"/>
          <w:color w:val="333333"/>
          <w:spacing w:val="2"/>
          <w:sz w:val="27"/>
          <w:szCs w:val="27"/>
          <w:lang w:eastAsia="it-IT"/>
        </w:rPr>
        <w:br/>
        <w:t>Discount di alimentari</w:t>
      </w:r>
      <w:r w:rsidRPr="008C54B8">
        <w:rPr>
          <w:rFonts w:ascii="Helvetica" w:eastAsia="Times New Roman" w:hAnsi="Helvetica" w:cs="Helvetica"/>
          <w:color w:val="333333"/>
          <w:spacing w:val="2"/>
          <w:sz w:val="27"/>
          <w:szCs w:val="27"/>
          <w:lang w:eastAsia="it-IT"/>
        </w:rPr>
        <w:br/>
        <w:t>Minimercati ed altri esercizi non specializzati di alimentari vari</w:t>
      </w:r>
      <w:r w:rsidRPr="008C54B8">
        <w:rPr>
          <w:rFonts w:ascii="Helvetica" w:eastAsia="Times New Roman" w:hAnsi="Helvetica" w:cs="Helvetica"/>
          <w:color w:val="333333"/>
          <w:spacing w:val="2"/>
          <w:sz w:val="27"/>
          <w:szCs w:val="27"/>
          <w:lang w:eastAsia="it-IT"/>
        </w:rPr>
        <w:br/>
        <w:t>Commercio al dettaglio di prodotti surgelati</w:t>
      </w:r>
      <w:r w:rsidRPr="008C54B8">
        <w:rPr>
          <w:rFonts w:ascii="Helvetica" w:eastAsia="Times New Roman" w:hAnsi="Helvetica" w:cs="Helvetica"/>
          <w:color w:val="333333"/>
          <w:spacing w:val="2"/>
          <w:sz w:val="27"/>
          <w:szCs w:val="27"/>
          <w:lang w:eastAsia="it-IT"/>
        </w:rPr>
        <w:br/>
        <w:t>Commercio al dettaglio in esercizi non specializzati di computer, periferiche, attrezzature per le telecomunicazioni, elettronica di consumo audio e video, elettrodomestici</w:t>
      </w:r>
      <w:r w:rsidRPr="008C54B8">
        <w:rPr>
          <w:rFonts w:ascii="Helvetica" w:eastAsia="Times New Roman" w:hAnsi="Helvetica" w:cs="Helvetica"/>
          <w:color w:val="333333"/>
          <w:spacing w:val="2"/>
          <w:sz w:val="27"/>
          <w:szCs w:val="27"/>
          <w:lang w:eastAsia="it-IT"/>
        </w:rPr>
        <w:br/>
        <w:t xml:space="preserve">Commercio al dettaglio di prodotti alimentari, bevande e tabacco in esercizi specializzati (codici </w:t>
      </w:r>
      <w:proofErr w:type="spellStart"/>
      <w:r w:rsidRPr="008C54B8">
        <w:rPr>
          <w:rFonts w:ascii="Helvetica" w:eastAsia="Times New Roman" w:hAnsi="Helvetica" w:cs="Helvetica"/>
          <w:color w:val="333333"/>
          <w:spacing w:val="2"/>
          <w:sz w:val="27"/>
          <w:szCs w:val="27"/>
          <w:lang w:eastAsia="it-IT"/>
        </w:rPr>
        <w:t>ateco</w:t>
      </w:r>
      <w:proofErr w:type="spellEnd"/>
      <w:r w:rsidRPr="008C54B8">
        <w:rPr>
          <w:rFonts w:ascii="Helvetica" w:eastAsia="Times New Roman" w:hAnsi="Helvetica" w:cs="Helvetica"/>
          <w:color w:val="333333"/>
          <w:spacing w:val="2"/>
          <w:sz w:val="27"/>
          <w:szCs w:val="27"/>
          <w:lang w:eastAsia="it-IT"/>
        </w:rPr>
        <w:t>: 47.2)</w:t>
      </w:r>
      <w:r w:rsidRPr="008C54B8">
        <w:rPr>
          <w:rFonts w:ascii="Helvetica" w:eastAsia="Times New Roman" w:hAnsi="Helvetica" w:cs="Helvetica"/>
          <w:color w:val="333333"/>
          <w:spacing w:val="2"/>
          <w:sz w:val="27"/>
          <w:szCs w:val="27"/>
          <w:lang w:eastAsia="it-IT"/>
        </w:rPr>
        <w:br/>
        <w:t>Commercio al dettaglio di carburante per autotrazione in esercizi specializzati</w:t>
      </w:r>
      <w:r w:rsidRPr="008C54B8">
        <w:rPr>
          <w:rFonts w:ascii="Helvetica" w:eastAsia="Times New Roman" w:hAnsi="Helvetica" w:cs="Helvetica"/>
          <w:color w:val="333333"/>
          <w:spacing w:val="2"/>
          <w:sz w:val="27"/>
          <w:szCs w:val="27"/>
          <w:lang w:eastAsia="it-IT"/>
        </w:rPr>
        <w:br/>
        <w:t xml:space="preserve">Commercio al dettaglio apparecchiature informatiche e per le telecomunicazioni (ICT) in esercizi specializzati (codice </w:t>
      </w:r>
      <w:proofErr w:type="spellStart"/>
      <w:r w:rsidRPr="008C54B8">
        <w:rPr>
          <w:rFonts w:ascii="Helvetica" w:eastAsia="Times New Roman" w:hAnsi="Helvetica" w:cs="Helvetica"/>
          <w:color w:val="333333"/>
          <w:spacing w:val="2"/>
          <w:sz w:val="27"/>
          <w:szCs w:val="27"/>
          <w:lang w:eastAsia="it-IT"/>
        </w:rPr>
        <w:t>ateco</w:t>
      </w:r>
      <w:proofErr w:type="spellEnd"/>
      <w:r w:rsidRPr="008C54B8">
        <w:rPr>
          <w:rFonts w:ascii="Helvetica" w:eastAsia="Times New Roman" w:hAnsi="Helvetica" w:cs="Helvetica"/>
          <w:color w:val="333333"/>
          <w:spacing w:val="2"/>
          <w:sz w:val="27"/>
          <w:szCs w:val="27"/>
          <w:lang w:eastAsia="it-IT"/>
        </w:rPr>
        <w:t>: 47.4)</w:t>
      </w:r>
      <w:r w:rsidRPr="008C54B8">
        <w:rPr>
          <w:rFonts w:ascii="Helvetica" w:eastAsia="Times New Roman" w:hAnsi="Helvetica" w:cs="Helvetica"/>
          <w:color w:val="333333"/>
          <w:spacing w:val="2"/>
          <w:sz w:val="27"/>
          <w:szCs w:val="27"/>
          <w:lang w:eastAsia="it-IT"/>
        </w:rPr>
        <w:br/>
        <w:t>Commercio al dettaglio di ferramenta, vernici, vetro piano e materiale elettrico e termoidraulico</w:t>
      </w:r>
      <w:r w:rsidRPr="008C54B8">
        <w:rPr>
          <w:rFonts w:ascii="Helvetica" w:eastAsia="Times New Roman" w:hAnsi="Helvetica" w:cs="Helvetica"/>
          <w:color w:val="333333"/>
          <w:spacing w:val="2"/>
          <w:sz w:val="27"/>
          <w:szCs w:val="27"/>
          <w:lang w:eastAsia="it-IT"/>
        </w:rPr>
        <w:br/>
        <w:t>Commercio al dettaglio di articoli igienico-sanitari</w:t>
      </w:r>
      <w:r w:rsidRPr="008C54B8">
        <w:rPr>
          <w:rFonts w:ascii="Helvetica" w:eastAsia="Times New Roman" w:hAnsi="Helvetica" w:cs="Helvetica"/>
          <w:color w:val="333333"/>
          <w:spacing w:val="2"/>
          <w:sz w:val="27"/>
          <w:szCs w:val="27"/>
          <w:lang w:eastAsia="it-IT"/>
        </w:rPr>
        <w:br/>
        <w:t>Commercio al dettaglio di articoli per l'illuminazione</w:t>
      </w:r>
      <w:r w:rsidRPr="008C54B8">
        <w:rPr>
          <w:rFonts w:ascii="Helvetica" w:eastAsia="Times New Roman" w:hAnsi="Helvetica" w:cs="Helvetica"/>
          <w:color w:val="333333"/>
          <w:spacing w:val="2"/>
          <w:sz w:val="27"/>
          <w:szCs w:val="27"/>
          <w:lang w:eastAsia="it-IT"/>
        </w:rPr>
        <w:br/>
        <w:t>Commercio al dettaglio di giornali, riviste e periodici</w:t>
      </w:r>
      <w:r w:rsidRPr="008C54B8">
        <w:rPr>
          <w:rFonts w:ascii="Helvetica" w:eastAsia="Times New Roman" w:hAnsi="Helvetica" w:cs="Helvetica"/>
          <w:color w:val="333333"/>
          <w:spacing w:val="2"/>
          <w:sz w:val="27"/>
          <w:szCs w:val="27"/>
          <w:lang w:eastAsia="it-IT"/>
        </w:rPr>
        <w:br/>
        <w:t>Farmacie</w:t>
      </w:r>
      <w:r w:rsidRPr="008C54B8">
        <w:rPr>
          <w:rFonts w:ascii="Helvetica" w:eastAsia="Times New Roman" w:hAnsi="Helvetica" w:cs="Helvetica"/>
          <w:color w:val="333333"/>
          <w:spacing w:val="2"/>
          <w:sz w:val="27"/>
          <w:szCs w:val="27"/>
          <w:lang w:eastAsia="it-IT"/>
        </w:rPr>
        <w:br/>
        <w:t>Commercio al dettaglio in altri esercizi specializzati di medicinali non soggetti a prescrizione medica</w:t>
      </w:r>
      <w:r w:rsidRPr="008C54B8">
        <w:rPr>
          <w:rFonts w:ascii="Helvetica" w:eastAsia="Times New Roman" w:hAnsi="Helvetica" w:cs="Helvetica"/>
          <w:color w:val="333333"/>
          <w:spacing w:val="2"/>
          <w:sz w:val="27"/>
          <w:szCs w:val="27"/>
          <w:lang w:eastAsia="it-IT"/>
        </w:rPr>
        <w:br/>
        <w:t>Commercio al dettaglio di articoli medicali e ortopedici in esercizi specializzati</w:t>
      </w:r>
      <w:r w:rsidRPr="008C54B8">
        <w:rPr>
          <w:rFonts w:ascii="Helvetica" w:eastAsia="Times New Roman" w:hAnsi="Helvetica" w:cs="Helvetica"/>
          <w:color w:val="333333"/>
          <w:spacing w:val="2"/>
          <w:sz w:val="27"/>
          <w:szCs w:val="27"/>
          <w:lang w:eastAsia="it-IT"/>
        </w:rPr>
        <w:br/>
        <w:t>Commercio al dettaglio di articoli di profumeria, prodotti per toletta e per l'igiene personale</w:t>
      </w:r>
      <w:r w:rsidRPr="008C54B8">
        <w:rPr>
          <w:rFonts w:ascii="Helvetica" w:eastAsia="Times New Roman" w:hAnsi="Helvetica" w:cs="Helvetica"/>
          <w:color w:val="333333"/>
          <w:spacing w:val="2"/>
          <w:sz w:val="27"/>
          <w:szCs w:val="27"/>
          <w:lang w:eastAsia="it-IT"/>
        </w:rPr>
        <w:br/>
        <w:t>Commercio al dettaglio di piccoli animali domestici</w:t>
      </w:r>
      <w:r w:rsidRPr="008C54B8">
        <w:rPr>
          <w:rFonts w:ascii="Helvetica" w:eastAsia="Times New Roman" w:hAnsi="Helvetica" w:cs="Helvetica"/>
          <w:color w:val="333333"/>
          <w:spacing w:val="2"/>
          <w:sz w:val="27"/>
          <w:szCs w:val="27"/>
          <w:lang w:eastAsia="it-IT"/>
        </w:rPr>
        <w:br/>
        <w:t>Commercio al dettaglio di materiale per ottica e fotografia</w:t>
      </w:r>
      <w:r w:rsidRPr="008C54B8">
        <w:rPr>
          <w:rFonts w:ascii="Helvetica" w:eastAsia="Times New Roman" w:hAnsi="Helvetica" w:cs="Helvetica"/>
          <w:color w:val="333333"/>
          <w:spacing w:val="2"/>
          <w:sz w:val="27"/>
          <w:szCs w:val="27"/>
          <w:lang w:eastAsia="it-IT"/>
        </w:rPr>
        <w:br/>
        <w:t>Commercio al dettaglio di combustibile per uso domestico e per riscaldamento</w:t>
      </w:r>
      <w:r w:rsidRPr="008C54B8">
        <w:rPr>
          <w:rFonts w:ascii="Helvetica" w:eastAsia="Times New Roman" w:hAnsi="Helvetica" w:cs="Helvetica"/>
          <w:color w:val="333333"/>
          <w:spacing w:val="2"/>
          <w:sz w:val="27"/>
          <w:szCs w:val="27"/>
          <w:lang w:eastAsia="it-IT"/>
        </w:rPr>
        <w:br/>
        <w:t>Commercio al dettaglio di saponi, detersivi, prodotti per la lucidatura e affini</w:t>
      </w:r>
      <w:r w:rsidRPr="008C54B8">
        <w:rPr>
          <w:rFonts w:ascii="Helvetica" w:eastAsia="Times New Roman" w:hAnsi="Helvetica" w:cs="Helvetica"/>
          <w:color w:val="333333"/>
          <w:spacing w:val="2"/>
          <w:sz w:val="27"/>
          <w:szCs w:val="27"/>
          <w:lang w:eastAsia="it-IT"/>
        </w:rPr>
        <w:br/>
        <w:t>Commercio al dettaglio di qualsiasi tipo di prodotto effettuato via internet</w:t>
      </w:r>
      <w:r w:rsidRPr="008C54B8">
        <w:rPr>
          <w:rFonts w:ascii="Helvetica" w:eastAsia="Times New Roman" w:hAnsi="Helvetica" w:cs="Helvetica"/>
          <w:color w:val="333333"/>
          <w:spacing w:val="2"/>
          <w:sz w:val="27"/>
          <w:szCs w:val="27"/>
          <w:lang w:eastAsia="it-IT"/>
        </w:rPr>
        <w:br/>
        <w:t>Commercio al dettaglio di qualsiasi tipo di prodotto effettuato per televisione</w:t>
      </w:r>
      <w:r w:rsidRPr="008C54B8">
        <w:rPr>
          <w:rFonts w:ascii="Helvetica" w:eastAsia="Times New Roman" w:hAnsi="Helvetica" w:cs="Helvetica"/>
          <w:color w:val="333333"/>
          <w:spacing w:val="2"/>
          <w:sz w:val="27"/>
          <w:szCs w:val="27"/>
          <w:lang w:eastAsia="it-IT"/>
        </w:rPr>
        <w:br/>
        <w:t>Commercio al dettaglio di qualsiasi tipo di prodotto per corrispondenza, radio, telefono</w:t>
      </w:r>
      <w:r w:rsidRPr="008C54B8">
        <w:rPr>
          <w:rFonts w:ascii="Helvetica" w:eastAsia="Times New Roman" w:hAnsi="Helvetica" w:cs="Helvetica"/>
          <w:color w:val="333333"/>
          <w:spacing w:val="2"/>
          <w:sz w:val="27"/>
          <w:szCs w:val="27"/>
          <w:lang w:eastAsia="it-IT"/>
        </w:rPr>
        <w:br/>
        <w:t>Commercio effettuato per mezzo di distributori automatici</w:t>
      </w:r>
    </w:p>
    <w:p w:rsidR="008C54B8" w:rsidRPr="008C54B8" w:rsidRDefault="008C54B8" w:rsidP="008C54B8">
      <w:pPr>
        <w:shd w:val="clear" w:color="auto" w:fill="FFFFFF"/>
        <w:spacing w:after="375" w:line="240" w:lineRule="auto"/>
        <w:outlineLvl w:val="2"/>
        <w:rPr>
          <w:rFonts w:ascii="Helvetica" w:eastAsia="Times New Roman" w:hAnsi="Helvetica" w:cs="Helvetica"/>
          <w:b/>
          <w:bCs/>
          <w:color w:val="000000"/>
          <w:sz w:val="36"/>
          <w:szCs w:val="36"/>
          <w:lang w:eastAsia="it-IT"/>
        </w:rPr>
      </w:pPr>
      <w:r w:rsidRPr="008C54B8">
        <w:rPr>
          <w:rFonts w:ascii="Helvetica" w:eastAsia="Times New Roman" w:hAnsi="Helvetica" w:cs="Helvetica"/>
          <w:b/>
          <w:bCs/>
          <w:color w:val="000000"/>
          <w:sz w:val="36"/>
          <w:szCs w:val="36"/>
          <w:lang w:eastAsia="it-IT"/>
        </w:rPr>
        <w:t>Allegato 2</w:t>
      </w:r>
      <w:r w:rsidRPr="008C54B8">
        <w:rPr>
          <w:rFonts w:ascii="Helvetica" w:eastAsia="Times New Roman" w:hAnsi="Helvetica" w:cs="Helvetica"/>
          <w:b/>
          <w:bCs/>
          <w:color w:val="000000"/>
          <w:sz w:val="36"/>
          <w:szCs w:val="36"/>
          <w:lang w:eastAsia="it-IT"/>
        </w:rPr>
        <w:br/>
        <w:t>Servizi per la persona</w:t>
      </w:r>
    </w:p>
    <w:p w:rsidR="008C54B8" w:rsidRPr="008C54B8" w:rsidRDefault="008C54B8" w:rsidP="008C54B8">
      <w:pPr>
        <w:shd w:val="clear" w:color="auto" w:fill="FFFFFF"/>
        <w:spacing w:after="450" w:line="240" w:lineRule="auto"/>
        <w:rPr>
          <w:rFonts w:ascii="Helvetica" w:eastAsia="Times New Roman" w:hAnsi="Helvetica" w:cs="Helvetica"/>
          <w:color w:val="333333"/>
          <w:spacing w:val="2"/>
          <w:sz w:val="27"/>
          <w:szCs w:val="27"/>
          <w:lang w:eastAsia="it-IT"/>
        </w:rPr>
      </w:pPr>
      <w:r w:rsidRPr="008C54B8">
        <w:rPr>
          <w:rFonts w:ascii="Helvetica" w:eastAsia="Times New Roman" w:hAnsi="Helvetica" w:cs="Helvetica"/>
          <w:color w:val="333333"/>
          <w:spacing w:val="2"/>
          <w:sz w:val="27"/>
          <w:szCs w:val="27"/>
          <w:lang w:eastAsia="it-IT"/>
        </w:rPr>
        <w:lastRenderedPageBreak/>
        <w:t>Lavanderia e pulitura di articoli tessili e pelliccia</w:t>
      </w:r>
      <w:r w:rsidRPr="008C54B8">
        <w:rPr>
          <w:rFonts w:ascii="Helvetica" w:eastAsia="Times New Roman" w:hAnsi="Helvetica" w:cs="Helvetica"/>
          <w:color w:val="333333"/>
          <w:spacing w:val="2"/>
          <w:sz w:val="27"/>
          <w:szCs w:val="27"/>
          <w:lang w:eastAsia="it-IT"/>
        </w:rPr>
        <w:br/>
        <w:t>Attività delle lavanderie industriali</w:t>
      </w:r>
      <w:r w:rsidRPr="008C54B8">
        <w:rPr>
          <w:rFonts w:ascii="Helvetica" w:eastAsia="Times New Roman" w:hAnsi="Helvetica" w:cs="Helvetica"/>
          <w:color w:val="333333"/>
          <w:spacing w:val="2"/>
          <w:sz w:val="27"/>
          <w:szCs w:val="27"/>
          <w:lang w:eastAsia="it-IT"/>
        </w:rPr>
        <w:br/>
        <w:t>Altre lavanderie, tintorie</w:t>
      </w:r>
      <w:r w:rsidRPr="008C54B8">
        <w:rPr>
          <w:rFonts w:ascii="Helvetica" w:eastAsia="Times New Roman" w:hAnsi="Helvetica" w:cs="Helvetica"/>
          <w:color w:val="333333"/>
          <w:spacing w:val="2"/>
          <w:sz w:val="27"/>
          <w:szCs w:val="27"/>
          <w:lang w:eastAsia="it-IT"/>
        </w:rPr>
        <w:br/>
        <w:t>Servizi di pompe funebri e attività connesse</w:t>
      </w:r>
    </w:p>
    <w:p w:rsidR="00BE37D2" w:rsidRDefault="00BE37D2"/>
    <w:sectPr w:rsidR="00BE37D2" w:rsidSect="00BE37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881"/>
    <w:multiLevelType w:val="multilevel"/>
    <w:tmpl w:val="3A0087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54B8"/>
    <w:rsid w:val="008C54B8"/>
    <w:rsid w:val="00BE37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7D2"/>
  </w:style>
  <w:style w:type="paragraph" w:styleId="Titolo2">
    <w:name w:val="heading 2"/>
    <w:basedOn w:val="Normale"/>
    <w:link w:val="Titolo2Carattere"/>
    <w:uiPriority w:val="9"/>
    <w:qFormat/>
    <w:rsid w:val="008C54B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C54B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C54B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C54B8"/>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C54B8"/>
    <w:rPr>
      <w:b/>
      <w:bCs/>
    </w:rPr>
  </w:style>
  <w:style w:type="paragraph" w:styleId="NormaleWeb">
    <w:name w:val="Normal (Web)"/>
    <w:basedOn w:val="Normale"/>
    <w:uiPriority w:val="99"/>
    <w:semiHidden/>
    <w:unhideWhenUsed/>
    <w:rsid w:val="008C54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4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2020-03-12T09:35:00Z</dcterms:created>
  <dcterms:modified xsi:type="dcterms:W3CDTF">2020-03-12T09:36:00Z</dcterms:modified>
</cp:coreProperties>
</file>